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F86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Institution: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Due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62C6F8D3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Team Member: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Completed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0644ABFE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Visit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Videoconference meeting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1927EC29" w14:textId="3F400F71" w:rsidR="00D83870" w:rsidRPr="0091542A" w:rsidRDefault="00F96FAD" w:rsidP="0091542A">
      <w:pPr>
        <w:pStyle w:val="Heading1"/>
        <w:jc w:val="center"/>
      </w:pPr>
      <w:r>
        <w:t>Special Visit (SV)</w:t>
      </w:r>
      <w:r w:rsidR="00C27B5C" w:rsidRPr="00ED4B24">
        <w:t xml:space="preserve"> Team Worksheet</w:t>
      </w:r>
    </w:p>
    <w:tbl>
      <w:tblPr>
        <w:tblpPr w:leftFromText="180" w:rightFromText="180" w:vertAnchor="text" w:horzAnchor="margin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7"/>
        <w:gridCol w:w="6797"/>
      </w:tblGrid>
      <w:tr w:rsidR="00ED4B24" w:rsidRPr="00ED4B24" w14:paraId="5619B8E3" w14:textId="77777777" w:rsidTr="00E878C6">
        <w:trPr>
          <w:trHeight w:val="505"/>
        </w:trPr>
        <w:tc>
          <w:tcPr>
            <w:tcW w:w="6797" w:type="dxa"/>
            <w:shd w:val="pct12" w:color="auto" w:fill="auto"/>
            <w:vAlign w:val="center"/>
          </w:tcPr>
          <w:p w14:paraId="6702F7B8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Purposes</w:t>
            </w:r>
          </w:p>
        </w:tc>
        <w:tc>
          <w:tcPr>
            <w:tcW w:w="6797" w:type="dxa"/>
            <w:shd w:val="pct12" w:color="auto" w:fill="auto"/>
          </w:tcPr>
          <w:p w14:paraId="77E638B0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Instructions</w:t>
            </w:r>
          </w:p>
        </w:tc>
      </w:tr>
      <w:tr w:rsidR="00ED4B24" w:rsidRPr="00ED4B24" w14:paraId="05626C73" w14:textId="77777777" w:rsidTr="00E878C6">
        <w:trPr>
          <w:trHeight w:val="4232"/>
        </w:trPr>
        <w:tc>
          <w:tcPr>
            <w:tcW w:w="6797" w:type="dxa"/>
          </w:tcPr>
          <w:p w14:paraId="2CCAB994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The purposes of this worksheet are to: </w:t>
            </w:r>
          </w:p>
          <w:p w14:paraId="783E2620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Assist team members prepare for the videoconference meeting and assigned responsibilities for the review.  </w:t>
            </w:r>
          </w:p>
          <w:p w14:paraId="03497EC8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Record observations from the preliminary review of the institution’s report and data exhibits.</w:t>
            </w:r>
          </w:p>
          <w:p w14:paraId="35917A86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Explore how well the institution has met the Commission’s concerns from the last review.</w:t>
            </w:r>
          </w:p>
          <w:p w14:paraId="2916458B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Identify any potential problems with compliance with the Standards, if applicable.</w:t>
            </w:r>
          </w:p>
          <w:p w14:paraId="5676AE53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Determine key issues, areas of focus, and strategies for the visit.</w:t>
            </w:r>
          </w:p>
          <w:p w14:paraId="220A9546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Identify any additional information needed in advance of the visit or to be available during the visit.</w:t>
            </w:r>
          </w:p>
          <w:p w14:paraId="0B0D6038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Refine and confirm team assignments and plan for report drafting.</w:t>
            </w:r>
          </w:p>
          <w:p w14:paraId="1B310A41" w14:textId="77777777" w:rsidR="00F96FAD" w:rsidRPr="00F96FAD" w:rsidRDefault="00F96FAD" w:rsidP="00F96F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Develop a list of activities and persons to meet on the visit so that the visit schedule can be prepared.  </w:t>
            </w:r>
          </w:p>
          <w:p w14:paraId="6883D63A" w14:textId="7FB19B6F" w:rsidR="00ED4B24" w:rsidRPr="00ED4B24" w:rsidRDefault="00ED4B24" w:rsidP="00ED4B2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7" w:type="dxa"/>
          </w:tcPr>
          <w:p w14:paraId="04569A4C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To complete this worksheet, team members are asked to:</w:t>
            </w:r>
          </w:p>
          <w:p w14:paraId="096A1228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45473304" w14:textId="77777777" w:rsidR="00F96FAD" w:rsidRPr="00F96FAD" w:rsidRDefault="00F96FAD" w:rsidP="00F96F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Read and analyze the materials available from the institution, including the report and any supporting documents. </w:t>
            </w:r>
          </w:p>
          <w:p w14:paraId="577CF9EB" w14:textId="77777777" w:rsidR="00F96FAD" w:rsidRPr="00F96FAD" w:rsidRDefault="00F96FAD" w:rsidP="00F96F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Read the </w:t>
            </w:r>
            <w:r w:rsidRPr="00F96FAD">
              <w:rPr>
                <w:rFonts w:ascii="Times New Roman" w:hAnsi="Times New Roman" w:cs="Times New Roman"/>
                <w:i/>
                <w:iCs/>
              </w:rPr>
              <w:t>Handbook of Accreditation</w:t>
            </w:r>
            <w:r w:rsidRPr="00F96FAD">
              <w:rPr>
                <w:rFonts w:ascii="Times New Roman" w:hAnsi="Times New Roman" w:cs="Times New Roman"/>
              </w:rPr>
              <w:t>, including the Standards and other material about the visit process sent by the WSCUC staff.</w:t>
            </w:r>
          </w:p>
          <w:p w14:paraId="708C8190" w14:textId="77777777" w:rsidR="00F96FAD" w:rsidRPr="00F96FAD" w:rsidRDefault="00F96FAD" w:rsidP="00F96F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Complete each section of the worksheet and email it to the assistant chair of the team by the deadline. </w:t>
            </w:r>
          </w:p>
          <w:p w14:paraId="59535F4E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6E7C260C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 xml:space="preserve">The assistant chair will prepare a summary document showing all responses and email the document to team members and the WSCUC staff liaison in advance of the videoconference meeting. </w:t>
            </w:r>
          </w:p>
          <w:p w14:paraId="6619C333" w14:textId="149BF126" w:rsidR="00ED4B24" w:rsidRPr="00ED4B24" w:rsidRDefault="00ED4B24" w:rsidP="00E878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752D18" w14:textId="3069B9D6" w:rsidR="00ED4B24" w:rsidRPr="00ED4B24" w:rsidRDefault="00ED4B24" w:rsidP="0083755F">
      <w:pPr>
        <w:rPr>
          <w:rFonts w:ascii="Times New Roman" w:hAnsi="Times New Roman" w:cs="Times New Roman"/>
        </w:rPr>
      </w:pPr>
    </w:p>
    <w:p w14:paraId="630B0861" w14:textId="77777777" w:rsidR="00ED4B24" w:rsidRPr="00ED4B24" w:rsidRDefault="00ED4B24">
      <w:pPr>
        <w:rPr>
          <w:rFonts w:ascii="Times New Roman" w:hAnsi="Times New Roman" w:cs="Times New Roman"/>
        </w:rPr>
      </w:pPr>
      <w:r w:rsidRPr="00ED4B24">
        <w:rPr>
          <w:rFonts w:ascii="Times New Roman" w:hAnsi="Times New Roman" w:cs="Times New Roman"/>
        </w:rPr>
        <w:br w:type="page"/>
      </w:r>
    </w:p>
    <w:tbl>
      <w:tblPr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90"/>
        <w:gridCol w:w="2838"/>
        <w:gridCol w:w="3382"/>
      </w:tblGrid>
      <w:tr w:rsidR="00F96FAD" w:rsidRPr="00F96FAD" w14:paraId="5A803273" w14:textId="77777777" w:rsidTr="00021D10">
        <w:trPr>
          <w:trHeight w:val="490"/>
        </w:trPr>
        <w:tc>
          <w:tcPr>
            <w:tcW w:w="13528" w:type="dxa"/>
            <w:gridSpan w:val="4"/>
            <w:shd w:val="clear" w:color="auto" w:fill="BFBFBF"/>
          </w:tcPr>
          <w:p w14:paraId="65110F2E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EVALUATION OF THE SPECIAL VISIT REPORT</w:t>
            </w:r>
          </w:p>
        </w:tc>
      </w:tr>
      <w:tr w:rsidR="00F96FAD" w:rsidRPr="00F96FAD" w14:paraId="368BD732" w14:textId="77777777" w:rsidTr="00021D10">
        <w:trPr>
          <w:trHeight w:val="634"/>
        </w:trPr>
        <w:tc>
          <w:tcPr>
            <w:tcW w:w="4518" w:type="dxa"/>
            <w:shd w:val="clear" w:color="auto" w:fill="D9D9D9"/>
          </w:tcPr>
          <w:p w14:paraId="031C3E59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Overall quality of the Institutional Report on Commission-identified Issues</w:t>
            </w:r>
          </w:p>
        </w:tc>
        <w:tc>
          <w:tcPr>
            <w:tcW w:w="2790" w:type="dxa"/>
            <w:shd w:val="clear" w:color="auto" w:fill="D9D9D9"/>
          </w:tcPr>
          <w:p w14:paraId="6D908444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Strengths: Areas of Good Practice</w:t>
            </w:r>
          </w:p>
        </w:tc>
        <w:tc>
          <w:tcPr>
            <w:tcW w:w="2838" w:type="dxa"/>
            <w:shd w:val="clear" w:color="auto" w:fill="D9D9D9"/>
          </w:tcPr>
          <w:p w14:paraId="5C2F1DCA" w14:textId="3E4CB601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Weaknesses: Areas for Improvement</w:t>
            </w:r>
          </w:p>
        </w:tc>
        <w:tc>
          <w:tcPr>
            <w:tcW w:w="3382" w:type="dxa"/>
            <w:shd w:val="clear" w:color="auto" w:fill="D9D9D9"/>
          </w:tcPr>
          <w:p w14:paraId="1696AD52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Specific Questions: Areas for Further Inquiry</w:t>
            </w:r>
          </w:p>
          <w:p w14:paraId="2D83DB96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6FAD" w:rsidRPr="00F96FAD" w14:paraId="5FE53FAB" w14:textId="77777777" w:rsidTr="00021D10">
        <w:trPr>
          <w:trHeight w:val="1341"/>
        </w:trPr>
        <w:tc>
          <w:tcPr>
            <w:tcW w:w="4518" w:type="dxa"/>
            <w:shd w:val="clear" w:color="auto" w:fill="auto"/>
          </w:tcPr>
          <w:p w14:paraId="2DCB5A81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2790" w:type="dxa"/>
            <w:shd w:val="clear" w:color="auto" w:fill="auto"/>
          </w:tcPr>
          <w:p w14:paraId="6D5BC952" w14:textId="77777777" w:rsidR="00F96FAD" w:rsidRPr="00F96FAD" w:rsidRDefault="00F96FAD" w:rsidP="00F96F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8" w:type="dxa"/>
            <w:shd w:val="clear" w:color="auto" w:fill="auto"/>
          </w:tcPr>
          <w:p w14:paraId="75475369" w14:textId="77777777" w:rsidR="00F96FAD" w:rsidRPr="00F96FAD" w:rsidRDefault="00F96FAD" w:rsidP="00F96F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2" w:type="dxa"/>
            <w:shd w:val="clear" w:color="auto" w:fill="auto"/>
          </w:tcPr>
          <w:p w14:paraId="4C57D077" w14:textId="77777777" w:rsidR="00F96FAD" w:rsidRPr="00F96FAD" w:rsidRDefault="00F96FAD" w:rsidP="00F96F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96FAD" w:rsidRPr="00F96FAD" w14:paraId="209D11D0" w14:textId="77777777" w:rsidTr="00021D10">
        <w:trPr>
          <w:trHeight w:val="1341"/>
        </w:trPr>
        <w:tc>
          <w:tcPr>
            <w:tcW w:w="4518" w:type="dxa"/>
            <w:shd w:val="clear" w:color="auto" w:fill="auto"/>
          </w:tcPr>
          <w:p w14:paraId="78C8662C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2790" w:type="dxa"/>
            <w:shd w:val="clear" w:color="auto" w:fill="auto"/>
          </w:tcPr>
          <w:p w14:paraId="3B04AB22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14:paraId="3D2608A6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shd w:val="clear" w:color="auto" w:fill="auto"/>
          </w:tcPr>
          <w:p w14:paraId="7726A536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AD" w:rsidRPr="00F96FAD" w14:paraId="28838B90" w14:textId="77777777" w:rsidTr="00021D10">
        <w:trPr>
          <w:trHeight w:val="1341"/>
        </w:trPr>
        <w:tc>
          <w:tcPr>
            <w:tcW w:w="4518" w:type="dxa"/>
            <w:shd w:val="clear" w:color="auto" w:fill="auto"/>
          </w:tcPr>
          <w:p w14:paraId="44C12284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2790" w:type="dxa"/>
            <w:shd w:val="clear" w:color="auto" w:fill="auto"/>
          </w:tcPr>
          <w:p w14:paraId="40560682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14:paraId="3F4479ED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shd w:val="clear" w:color="auto" w:fill="auto"/>
          </w:tcPr>
          <w:p w14:paraId="410644A0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AD" w:rsidRPr="00F96FAD" w14:paraId="2B08C42F" w14:textId="77777777" w:rsidTr="00021D10">
        <w:trPr>
          <w:trHeight w:val="1341"/>
        </w:trPr>
        <w:tc>
          <w:tcPr>
            <w:tcW w:w="4518" w:type="dxa"/>
            <w:shd w:val="clear" w:color="auto" w:fill="auto"/>
          </w:tcPr>
          <w:p w14:paraId="598DDA32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2790" w:type="dxa"/>
            <w:shd w:val="clear" w:color="auto" w:fill="auto"/>
          </w:tcPr>
          <w:p w14:paraId="31F8838F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14:paraId="25DBE529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shd w:val="clear" w:color="auto" w:fill="auto"/>
          </w:tcPr>
          <w:p w14:paraId="7FF3120F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AD" w:rsidRPr="00F96FAD" w14:paraId="072FE32F" w14:textId="77777777" w:rsidTr="00021D10">
        <w:trPr>
          <w:trHeight w:val="1341"/>
        </w:trPr>
        <w:tc>
          <w:tcPr>
            <w:tcW w:w="4518" w:type="dxa"/>
            <w:shd w:val="clear" w:color="auto" w:fill="auto"/>
          </w:tcPr>
          <w:p w14:paraId="0A5B06EF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E.</w:t>
            </w:r>
          </w:p>
        </w:tc>
        <w:tc>
          <w:tcPr>
            <w:tcW w:w="2790" w:type="dxa"/>
            <w:shd w:val="clear" w:color="auto" w:fill="auto"/>
          </w:tcPr>
          <w:p w14:paraId="6125B9B7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14:paraId="7F5298D6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shd w:val="clear" w:color="auto" w:fill="auto"/>
          </w:tcPr>
          <w:p w14:paraId="1EBE5782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AD" w:rsidRPr="00F96FAD" w14:paraId="10E2BCD7" w14:textId="77777777" w:rsidTr="00021D10">
        <w:trPr>
          <w:trHeight w:val="1233"/>
        </w:trPr>
        <w:tc>
          <w:tcPr>
            <w:tcW w:w="4518" w:type="dxa"/>
            <w:shd w:val="clear" w:color="auto" w:fill="auto"/>
          </w:tcPr>
          <w:p w14:paraId="532B2417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</w:rPr>
              <w:t>F.</w:t>
            </w:r>
          </w:p>
        </w:tc>
        <w:tc>
          <w:tcPr>
            <w:tcW w:w="2790" w:type="dxa"/>
            <w:shd w:val="clear" w:color="auto" w:fill="auto"/>
          </w:tcPr>
          <w:p w14:paraId="39147207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14:paraId="6067510E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shd w:val="clear" w:color="auto" w:fill="auto"/>
          </w:tcPr>
          <w:p w14:paraId="769D701B" w14:textId="77777777" w:rsidR="00F96FAD" w:rsidRPr="00F96FAD" w:rsidRDefault="00F96FAD" w:rsidP="00F96F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5732F7D" w14:textId="77777777" w:rsidR="00F96FAD" w:rsidRPr="00F96FAD" w:rsidRDefault="00F96FAD" w:rsidP="00F96FAD">
      <w:pPr>
        <w:rPr>
          <w:rFonts w:ascii="Times New Roman" w:hAnsi="Times New Roman" w:cs="Times New Roman"/>
          <w:b/>
        </w:rPr>
      </w:pPr>
    </w:p>
    <w:p w14:paraId="0EF1AEC5" w14:textId="77777777" w:rsidR="00F96FAD" w:rsidRPr="00F96FAD" w:rsidRDefault="00F96FAD" w:rsidP="00F96FAD">
      <w:pPr>
        <w:rPr>
          <w:rFonts w:ascii="Times New Roman" w:hAnsi="Times New Roman" w:cs="Times New Roman"/>
        </w:rPr>
      </w:pPr>
      <w:r w:rsidRPr="00F96FAD">
        <w:rPr>
          <w:rFonts w:ascii="Times New Roman" w:hAnsi="Times New Roman" w:cs="Times New Roman"/>
        </w:rPr>
        <w:br w:type="page"/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90"/>
        <w:gridCol w:w="2880"/>
        <w:gridCol w:w="3330"/>
      </w:tblGrid>
      <w:tr w:rsidR="00F96FAD" w:rsidRPr="00F96FAD" w14:paraId="3C76E39D" w14:textId="77777777" w:rsidTr="00021D10">
        <w:trPr>
          <w:trHeight w:val="391"/>
        </w:trPr>
        <w:tc>
          <w:tcPr>
            <w:tcW w:w="13518" w:type="dxa"/>
            <w:gridSpan w:val="4"/>
            <w:shd w:val="clear" w:color="auto" w:fill="BFBFBF"/>
          </w:tcPr>
          <w:p w14:paraId="68CA85AB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EVALUATION OF THE SPECIAL VISIT REPORT (continued)</w:t>
            </w:r>
          </w:p>
        </w:tc>
      </w:tr>
      <w:tr w:rsidR="00F96FAD" w:rsidRPr="00F96FAD" w14:paraId="09055ED7" w14:textId="77777777" w:rsidTr="00021D10">
        <w:trPr>
          <w:trHeight w:val="616"/>
        </w:trPr>
        <w:tc>
          <w:tcPr>
            <w:tcW w:w="4518" w:type="dxa"/>
            <w:shd w:val="clear" w:color="auto" w:fill="D9D9D9"/>
          </w:tcPr>
          <w:p w14:paraId="3806C67E" w14:textId="1FEF06FA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Overall quality of the Institutional Report</w:t>
            </w:r>
          </w:p>
        </w:tc>
        <w:tc>
          <w:tcPr>
            <w:tcW w:w="2790" w:type="dxa"/>
            <w:shd w:val="clear" w:color="auto" w:fill="D9D9D9"/>
          </w:tcPr>
          <w:p w14:paraId="76F99C0C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Strengths: Areas of Good Practice</w:t>
            </w:r>
          </w:p>
        </w:tc>
        <w:tc>
          <w:tcPr>
            <w:tcW w:w="2880" w:type="dxa"/>
            <w:shd w:val="clear" w:color="auto" w:fill="D9D9D9"/>
          </w:tcPr>
          <w:p w14:paraId="60E4751D" w14:textId="2FEB6AA8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Weaknesses: Areas for Improvement</w:t>
            </w:r>
          </w:p>
        </w:tc>
        <w:tc>
          <w:tcPr>
            <w:tcW w:w="3330" w:type="dxa"/>
            <w:shd w:val="clear" w:color="auto" w:fill="D9D9D9"/>
          </w:tcPr>
          <w:p w14:paraId="376DC402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FAD">
              <w:rPr>
                <w:rFonts w:ascii="Times New Roman" w:hAnsi="Times New Roman" w:cs="Times New Roman"/>
                <w:b/>
                <w:i/>
              </w:rPr>
              <w:t>Specific Questions: Areas for Further Inquiry</w:t>
            </w:r>
          </w:p>
        </w:tc>
      </w:tr>
      <w:tr w:rsidR="00F96FAD" w:rsidRPr="00F96FAD" w14:paraId="24262EE9" w14:textId="77777777" w:rsidTr="00021D10">
        <w:trPr>
          <w:trHeight w:val="2258"/>
        </w:trPr>
        <w:tc>
          <w:tcPr>
            <w:tcW w:w="4518" w:type="dxa"/>
            <w:shd w:val="clear" w:color="auto" w:fill="auto"/>
          </w:tcPr>
          <w:p w14:paraId="2E1416FA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  <w:b/>
              </w:rPr>
              <w:t xml:space="preserve">G. Consequential Inquiry: </w:t>
            </w:r>
            <w:r w:rsidRPr="00F96FAD">
              <w:rPr>
                <w:rFonts w:ascii="Times New Roman" w:hAnsi="Times New Roman" w:cs="Times New Roman"/>
                <w:b/>
              </w:rPr>
              <w:br/>
            </w:r>
            <w:r w:rsidRPr="00F96FAD">
              <w:rPr>
                <w:rFonts w:ascii="Times New Roman" w:hAnsi="Times New Roman" w:cs="Times New Roman"/>
              </w:rPr>
              <w:t>How well does the report demonstrate engagement with issues that will lead to real improvement?</w:t>
            </w:r>
          </w:p>
        </w:tc>
        <w:tc>
          <w:tcPr>
            <w:tcW w:w="2790" w:type="dxa"/>
            <w:shd w:val="clear" w:color="auto" w:fill="auto"/>
          </w:tcPr>
          <w:p w14:paraId="53C2497D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F8A23FD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51938A1C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</w:tr>
      <w:tr w:rsidR="00F96FAD" w:rsidRPr="00F96FAD" w14:paraId="3B292F24" w14:textId="77777777" w:rsidTr="00021D10">
        <w:trPr>
          <w:trHeight w:val="2104"/>
        </w:trPr>
        <w:tc>
          <w:tcPr>
            <w:tcW w:w="4518" w:type="dxa"/>
            <w:shd w:val="clear" w:color="auto" w:fill="auto"/>
          </w:tcPr>
          <w:p w14:paraId="67E27935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  <w:b/>
              </w:rPr>
              <w:t>H. Evidence:</w:t>
            </w:r>
            <w:r w:rsidRPr="00F96FAD">
              <w:rPr>
                <w:rFonts w:ascii="Times New Roman" w:hAnsi="Times New Roman" w:cs="Times New Roman"/>
              </w:rPr>
              <w:t xml:space="preserve">  </w:t>
            </w:r>
            <w:r w:rsidRPr="00F96FAD">
              <w:rPr>
                <w:rFonts w:ascii="Times New Roman" w:hAnsi="Times New Roman" w:cs="Times New Roman"/>
              </w:rPr>
              <w:br/>
              <w:t>Did the institution gather appropriate evidence and analyze it well?  Does the evidence support or fail to support the institution’s actions, decision-making, and claims?</w:t>
            </w:r>
          </w:p>
          <w:p w14:paraId="7650DAEA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16EB3C18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596D2C93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4C53E4A9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4977F864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14:paraId="1A80FBBB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14601E2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55C329D8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</w:tr>
      <w:tr w:rsidR="00F96FAD" w:rsidRPr="00F96FAD" w14:paraId="75FCB9B8" w14:textId="77777777" w:rsidTr="00021D10">
        <w:trPr>
          <w:trHeight w:val="2258"/>
        </w:trPr>
        <w:tc>
          <w:tcPr>
            <w:tcW w:w="4518" w:type="dxa"/>
            <w:shd w:val="clear" w:color="auto" w:fill="auto"/>
          </w:tcPr>
          <w:p w14:paraId="36025298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  <w:b/>
              </w:rPr>
              <w:t>I. Institution’s Recommendations and Actions:</w:t>
            </w:r>
            <w:r w:rsidRPr="00F96FAD">
              <w:rPr>
                <w:rFonts w:ascii="Times New Roman" w:hAnsi="Times New Roman" w:cs="Times New Roman"/>
              </w:rPr>
              <w:t xml:space="preserve"> </w:t>
            </w:r>
            <w:r w:rsidRPr="00F96FAD">
              <w:rPr>
                <w:rFonts w:ascii="Times New Roman" w:hAnsi="Times New Roman" w:cs="Times New Roman"/>
              </w:rPr>
              <w:br/>
              <w:t>Has the institution made recommendations for improvement resulting from its review?  Does the report integrate and synthesize institutional evidence and exhibits, leading to findings and recommendations for action?</w:t>
            </w:r>
          </w:p>
          <w:p w14:paraId="122754E2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09F01668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A983F03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1DB64EE0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</w:tr>
    </w:tbl>
    <w:p w14:paraId="7B6DB995" w14:textId="77777777" w:rsidR="00F96FAD" w:rsidRPr="00F96FAD" w:rsidRDefault="00F96FAD" w:rsidP="00F96FAD">
      <w:pPr>
        <w:rPr>
          <w:rFonts w:ascii="Times New Roman" w:hAnsi="Times New Roman" w:cs="Times New Roman"/>
        </w:rPr>
      </w:pPr>
      <w:r w:rsidRPr="00F96FAD">
        <w:rPr>
          <w:rFonts w:ascii="Times New Roman" w:hAnsi="Times New Roman" w:cs="Times New Roman"/>
        </w:rPr>
        <w:br w:type="page"/>
      </w:r>
    </w:p>
    <w:p w14:paraId="3B757F24" w14:textId="77777777" w:rsidR="00F96FAD" w:rsidRPr="00F96FAD" w:rsidRDefault="00F96FAD" w:rsidP="00F96FAD">
      <w:pPr>
        <w:rPr>
          <w:rFonts w:ascii="Times New Roman" w:hAnsi="Times New Roman" w:cs="Times New Roman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F96FAD" w:rsidRPr="00F96FAD" w14:paraId="5586C05A" w14:textId="77777777" w:rsidTr="00021D10">
        <w:trPr>
          <w:trHeight w:val="512"/>
          <w:jc w:val="center"/>
        </w:trPr>
        <w:tc>
          <w:tcPr>
            <w:tcW w:w="14220" w:type="dxa"/>
            <w:shd w:val="clear" w:color="auto" w:fill="BFBFBF"/>
          </w:tcPr>
          <w:p w14:paraId="259B6537" w14:textId="77777777" w:rsidR="00F96FAD" w:rsidRPr="00F96FAD" w:rsidRDefault="00F96FAD" w:rsidP="00F9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42A">
              <w:rPr>
                <w:rFonts w:ascii="Times New Roman" w:hAnsi="Times New Roman" w:cs="Times New Roman"/>
                <w:b/>
                <w:sz w:val="24"/>
                <w:szCs w:val="24"/>
              </w:rPr>
              <w:t>II. PRELIMINARY APPROACH TO THE SPECIAL VISIT</w:t>
            </w:r>
          </w:p>
        </w:tc>
      </w:tr>
      <w:tr w:rsidR="00F96FAD" w:rsidRPr="00F96FAD" w14:paraId="3719D0CA" w14:textId="77777777" w:rsidTr="00021D10">
        <w:trPr>
          <w:trHeight w:val="1394"/>
          <w:jc w:val="center"/>
        </w:trPr>
        <w:tc>
          <w:tcPr>
            <w:tcW w:w="14220" w:type="dxa"/>
          </w:tcPr>
          <w:p w14:paraId="2D8E2094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A. Key issues for the team to explore on the visit:</w:t>
            </w:r>
          </w:p>
          <w:p w14:paraId="4084861D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</w:tr>
      <w:tr w:rsidR="00F96FAD" w:rsidRPr="00F96FAD" w14:paraId="62368EFD" w14:textId="77777777" w:rsidTr="00021D10">
        <w:trPr>
          <w:trHeight w:val="1435"/>
          <w:jc w:val="center"/>
        </w:trPr>
        <w:tc>
          <w:tcPr>
            <w:tcW w:w="14220" w:type="dxa"/>
            <w:tcBorders>
              <w:bottom w:val="nil"/>
            </w:tcBorders>
          </w:tcPr>
          <w:p w14:paraId="746BAF72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B. Evidence of potential non-compliance with the Standards (if relevant):</w:t>
            </w:r>
          </w:p>
        </w:tc>
      </w:tr>
      <w:tr w:rsidR="00F96FAD" w:rsidRPr="00F96FAD" w14:paraId="75318CA4" w14:textId="77777777" w:rsidTr="00021D10">
        <w:trPr>
          <w:trHeight w:val="1525"/>
          <w:jc w:val="center"/>
        </w:trPr>
        <w:tc>
          <w:tcPr>
            <w:tcW w:w="14220" w:type="dxa"/>
          </w:tcPr>
          <w:p w14:paraId="6218735F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C. Additional evidence to be sent by the institution in advance of the review or to be available during the visit:</w:t>
            </w:r>
          </w:p>
          <w:p w14:paraId="5F0F0031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5D873B3B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  <w:p w14:paraId="27F821B3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</w:p>
        </w:tc>
      </w:tr>
      <w:tr w:rsidR="00F96FAD" w:rsidRPr="00F96FAD" w14:paraId="179880D3" w14:textId="77777777" w:rsidTr="00021D10">
        <w:trPr>
          <w:trHeight w:val="1489"/>
          <w:jc w:val="center"/>
        </w:trPr>
        <w:tc>
          <w:tcPr>
            <w:tcW w:w="14220" w:type="dxa"/>
            <w:tcBorders>
              <w:bottom w:val="single" w:sz="4" w:space="0" w:color="auto"/>
            </w:tcBorders>
          </w:tcPr>
          <w:p w14:paraId="08ED6DC3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D.  Persons, committees, or groups to be interviewed:</w:t>
            </w:r>
          </w:p>
        </w:tc>
      </w:tr>
      <w:tr w:rsidR="00F96FAD" w:rsidRPr="00F96FAD" w14:paraId="2AF03509" w14:textId="77777777" w:rsidTr="00021D10">
        <w:trPr>
          <w:trHeight w:val="1354"/>
          <w:jc w:val="center"/>
        </w:trPr>
        <w:tc>
          <w:tcPr>
            <w:tcW w:w="14220" w:type="dxa"/>
          </w:tcPr>
          <w:p w14:paraId="5092CDDB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E.  Suggested strategies and methods for the visit:</w:t>
            </w:r>
          </w:p>
        </w:tc>
      </w:tr>
      <w:tr w:rsidR="00F96FAD" w:rsidRPr="00F96FAD" w14:paraId="1E6A42B0" w14:textId="77777777" w:rsidTr="00021D10">
        <w:trPr>
          <w:trHeight w:val="1354"/>
          <w:jc w:val="center"/>
        </w:trPr>
        <w:tc>
          <w:tcPr>
            <w:tcW w:w="14220" w:type="dxa"/>
          </w:tcPr>
          <w:p w14:paraId="5C2F5204" w14:textId="77777777" w:rsidR="00F96FAD" w:rsidRPr="00F96FAD" w:rsidRDefault="00F96FAD" w:rsidP="00F96FAD">
            <w:pPr>
              <w:rPr>
                <w:rFonts w:ascii="Times New Roman" w:hAnsi="Times New Roman" w:cs="Times New Roman"/>
              </w:rPr>
            </w:pPr>
            <w:r w:rsidRPr="00F96FAD">
              <w:rPr>
                <w:rFonts w:ascii="Times New Roman" w:hAnsi="Times New Roman" w:cs="Times New Roman"/>
              </w:rPr>
              <w:t>F.  Other comments, concerns, issues:</w:t>
            </w:r>
          </w:p>
        </w:tc>
      </w:tr>
    </w:tbl>
    <w:p w14:paraId="46511A46" w14:textId="77777777" w:rsidR="005810C2" w:rsidRPr="00ED4B24" w:rsidRDefault="005810C2" w:rsidP="0083755F">
      <w:pPr>
        <w:rPr>
          <w:rFonts w:ascii="Times New Roman" w:hAnsi="Times New Roman" w:cs="Times New Roman"/>
        </w:rPr>
      </w:pPr>
    </w:p>
    <w:sectPr w:rsidR="005810C2" w:rsidRPr="00ED4B24" w:rsidSect="00304C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217" w:bottom="720" w:left="99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E24" w14:textId="77777777" w:rsidR="008D340B" w:rsidRDefault="008D340B" w:rsidP="0083755F">
      <w:r>
        <w:separator/>
      </w:r>
    </w:p>
  </w:endnote>
  <w:endnote w:type="continuationSeparator" w:id="0">
    <w:p w14:paraId="6B6E578D" w14:textId="77777777" w:rsidR="008D340B" w:rsidRDefault="008D340B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swald Light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E182D" w14:textId="20A37597" w:rsidR="00CB0898" w:rsidRPr="00E378B7" w:rsidRDefault="00C2655A" w:rsidP="00E378B7">
        <w:pPr>
          <w:pStyle w:val="Footer"/>
          <w:jc w:val="center"/>
          <w:rPr>
            <w:color w:val="AEAAAA" w:themeColor="background2" w:themeShade="BF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2E7" w14:textId="24E4F073" w:rsidR="00ED4B24" w:rsidRPr="00ED4B24" w:rsidRDefault="00ED4B24" w:rsidP="00A659A1">
    <w:pPr>
      <w:pStyle w:val="Footer"/>
      <w:jc w:val="right"/>
      <w:rPr>
        <w:rFonts w:ascii="Times New Roman" w:hAnsi="Times New Roman" w:cs="Times New Roman"/>
      </w:rPr>
    </w:pPr>
    <w:r w:rsidRPr="00ED4B24">
      <w:rPr>
        <w:rFonts w:ascii="Times New Roman" w:hAnsi="Times New Roman" w:cs="Times New Roman"/>
      </w:rPr>
      <w:t xml:space="preserve">Rev </w:t>
    </w:r>
    <w:r w:rsidR="00A659A1">
      <w:rPr>
        <w:rFonts w:ascii="Times New Roman" w:hAnsi="Times New Roman" w:cs="Times New Roman"/>
      </w:rPr>
      <w:t xml:space="preserve">11/2016, </w:t>
    </w:r>
    <w:r w:rsidRPr="00ED4B24">
      <w:rPr>
        <w:rFonts w:ascii="Times New Roman" w:hAnsi="Times New Roman" w:cs="Times New Roman"/>
      </w:rPr>
      <w:t>0</w:t>
    </w:r>
    <w:r w:rsidR="00057004">
      <w:rPr>
        <w:rFonts w:ascii="Times New Roman" w:hAnsi="Times New Roman" w:cs="Times New Roman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D475" w14:textId="77777777" w:rsidR="008D340B" w:rsidRDefault="008D340B" w:rsidP="0083755F">
      <w:r>
        <w:separator/>
      </w:r>
    </w:p>
  </w:footnote>
  <w:footnote w:type="continuationSeparator" w:id="0">
    <w:p w14:paraId="19BA380D" w14:textId="77777777" w:rsidR="008D340B" w:rsidRDefault="008D340B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7A3" w14:textId="60869797" w:rsidR="005810C2" w:rsidRPr="005810C2" w:rsidRDefault="00184F87" w:rsidP="00E378B7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32FFD0D">
              <wp:simplePos x="0" y="0"/>
              <wp:positionH relativeFrom="column">
                <wp:posOffset>-1056640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4B9FF" id="Rectangle 2" o:spid="_x0000_s1026" style="position:absolute;margin-left:-83.2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" fillcolor="#2f3866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D95" w14:textId="77777777" w:rsidR="00545546" w:rsidRDefault="00416736">
    <w:pPr>
      <w:pStyle w:val="Header"/>
    </w:pPr>
    <w:r w:rsidRPr="00416736">
      <w:rPr>
        <w:noProof/>
      </w:rPr>
      <w:drawing>
        <wp:inline distT="0" distB="0" distL="0" distR="0" wp14:anchorId="68BF024E" wp14:editId="0B57CB46">
          <wp:extent cx="1929171" cy="384048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71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11C9B" w14:textId="740533F4" w:rsidR="00416736" w:rsidRDefault="00416736">
    <w:pPr>
      <w:pStyle w:val="Header"/>
    </w:pPr>
    <w:r w:rsidRPr="004167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1D90F" wp14:editId="2AE5E39A">
              <wp:simplePos x="0" y="0"/>
              <wp:positionH relativeFrom="column">
                <wp:posOffset>-1056640</wp:posOffset>
              </wp:positionH>
              <wp:positionV relativeFrom="paragraph">
                <wp:posOffset>-1524000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2A01A" id="Rectangle 3" o:spid="_x0000_s1026" style="position:absolute;margin-left:-83.2pt;margin-top:-120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" fillcolor="#2f386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CF7"/>
    <w:multiLevelType w:val="hybridMultilevel"/>
    <w:tmpl w:val="34306ADC"/>
    <w:lvl w:ilvl="0" w:tplc="3A50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C69A8"/>
    <w:multiLevelType w:val="hybridMultilevel"/>
    <w:tmpl w:val="3302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994"/>
    <w:multiLevelType w:val="hybridMultilevel"/>
    <w:tmpl w:val="211A415A"/>
    <w:lvl w:ilvl="0" w:tplc="3A50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4798E"/>
    <w:multiLevelType w:val="hybridMultilevel"/>
    <w:tmpl w:val="FC482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9C9"/>
    <w:multiLevelType w:val="hybridMultilevel"/>
    <w:tmpl w:val="DFB4BE9C"/>
    <w:lvl w:ilvl="0" w:tplc="676C2B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7F757EC9"/>
    <w:multiLevelType w:val="hybridMultilevel"/>
    <w:tmpl w:val="9776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7352">
    <w:abstractNumId w:val="1"/>
  </w:num>
  <w:num w:numId="2" w16cid:durableId="1325623">
    <w:abstractNumId w:val="5"/>
  </w:num>
  <w:num w:numId="3" w16cid:durableId="1136532054">
    <w:abstractNumId w:val="3"/>
  </w:num>
  <w:num w:numId="4" w16cid:durableId="37705893">
    <w:abstractNumId w:val="4"/>
  </w:num>
  <w:num w:numId="5" w16cid:durableId="1208491990">
    <w:abstractNumId w:val="0"/>
  </w:num>
  <w:num w:numId="6" w16cid:durableId="49495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3766C"/>
    <w:rsid w:val="00057004"/>
    <w:rsid w:val="00184F87"/>
    <w:rsid w:val="001C3E60"/>
    <w:rsid w:val="002818DD"/>
    <w:rsid w:val="00295F2B"/>
    <w:rsid w:val="00304CA6"/>
    <w:rsid w:val="003A4210"/>
    <w:rsid w:val="003B0DAB"/>
    <w:rsid w:val="00416736"/>
    <w:rsid w:val="004A1E29"/>
    <w:rsid w:val="004A232E"/>
    <w:rsid w:val="00503695"/>
    <w:rsid w:val="00532707"/>
    <w:rsid w:val="00545546"/>
    <w:rsid w:val="005810C2"/>
    <w:rsid w:val="005C3B02"/>
    <w:rsid w:val="005E0403"/>
    <w:rsid w:val="0070320E"/>
    <w:rsid w:val="00705E1E"/>
    <w:rsid w:val="00713D09"/>
    <w:rsid w:val="00713D64"/>
    <w:rsid w:val="00733B03"/>
    <w:rsid w:val="0083755F"/>
    <w:rsid w:val="008D340B"/>
    <w:rsid w:val="0091542A"/>
    <w:rsid w:val="009971A3"/>
    <w:rsid w:val="009D27E7"/>
    <w:rsid w:val="00A659A1"/>
    <w:rsid w:val="00AD3237"/>
    <w:rsid w:val="00B503AD"/>
    <w:rsid w:val="00C2655A"/>
    <w:rsid w:val="00C27B5C"/>
    <w:rsid w:val="00C442E6"/>
    <w:rsid w:val="00C656D8"/>
    <w:rsid w:val="00CB0898"/>
    <w:rsid w:val="00CE420C"/>
    <w:rsid w:val="00D13175"/>
    <w:rsid w:val="00D143D5"/>
    <w:rsid w:val="00D50DB1"/>
    <w:rsid w:val="00D83870"/>
    <w:rsid w:val="00E17B33"/>
    <w:rsid w:val="00E378B7"/>
    <w:rsid w:val="00E75274"/>
    <w:rsid w:val="00EA15D4"/>
    <w:rsid w:val="00ED4B24"/>
    <w:rsid w:val="00F31FA7"/>
    <w:rsid w:val="00F47E68"/>
    <w:rsid w:val="00F96FAD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20C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DAB"/>
    <w:pPr>
      <w:keepNext/>
      <w:keepLines/>
      <w:spacing w:before="120" w:after="40"/>
      <w:outlineLvl w:val="0"/>
    </w:pPr>
    <w:rPr>
      <w:rFonts w:ascii="Oswald Medium" w:eastAsiaTheme="majorEastAsia" w:hAnsi="Oswald Medium" w:cstheme="majorBidi"/>
      <w:color w:val="5869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DAB"/>
    <w:pPr>
      <w:keepNext/>
      <w:keepLines/>
      <w:spacing w:before="120" w:after="40"/>
      <w:outlineLvl w:val="1"/>
    </w:pPr>
    <w:rPr>
      <w:rFonts w:ascii="Oswald Medium" w:eastAsiaTheme="majorEastAsia" w:hAnsi="Oswald Medium" w:cstheme="majorBidi"/>
      <w:color w:val="2F38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DAB"/>
    <w:pPr>
      <w:keepNext/>
      <w:keepLines/>
      <w:spacing w:before="12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AB"/>
    <w:pPr>
      <w:keepNext/>
      <w:keepLines/>
      <w:spacing w:before="12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F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304CA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CA6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0DAB"/>
    <w:rPr>
      <w:rFonts w:ascii="Oswald Medium" w:eastAsiaTheme="majorEastAsia" w:hAnsi="Oswald Medium" w:cstheme="majorBidi"/>
      <w:color w:val="5869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DAB"/>
    <w:rPr>
      <w:rFonts w:ascii="Oswald Medium" w:eastAsiaTheme="majorEastAsia" w:hAnsi="Oswald Medium" w:cstheme="majorBidi"/>
      <w:color w:val="2F386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0DAB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DAB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DAB"/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3B0DAB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character" w:styleId="Hyperlink">
    <w:name w:val="Hyperlink"/>
    <w:basedOn w:val="DefaultParagraphFont"/>
    <w:uiPriority w:val="99"/>
    <w:unhideWhenUsed/>
    <w:rsid w:val="00C4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2E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ED4B24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D4B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FAD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1367-D3BD-4748-8AEA-607556F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Jackie Gee</cp:lastModifiedBy>
  <cp:revision>2</cp:revision>
  <cp:lastPrinted>2021-09-29T23:03:00Z</cp:lastPrinted>
  <dcterms:created xsi:type="dcterms:W3CDTF">2023-09-22T00:29:00Z</dcterms:created>
  <dcterms:modified xsi:type="dcterms:W3CDTF">2023-09-22T00:29:00Z</dcterms:modified>
</cp:coreProperties>
</file>